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IC No : IC 529: Beyond the Microscope: Mastering the Business of Private Practice</w:t>
      </w:r>
    </w:p>
    <w:p w:rsidR="00000000" w:rsidDel="00000000" w:rsidP="00000000" w:rsidRDefault="00000000" w:rsidRPr="00000000" w14:paraId="00000002">
      <w:pPr>
        <w:rPr>
          <w:i w:val="1"/>
          <w:iCs w:val="1"/>
        </w:rPr>
      </w:pPr>
      <w:r w:rsidDel="00000000" w:rsidR="00000000" w:rsidRPr="00000000">
        <w:rPr>
          <w:b w:val="1"/>
          <w:bCs w:val="1"/>
          <w:rtl w:val="0"/>
        </w:rPr>
        <w:t xml:space="preserve">Your Journey from Clinical Mastery to Practice Empire</w:t>
      </w:r>
      <w:r w:rsidDel="00000000" w:rsidR="00000000" w:rsidRPr="00000000">
        <w:rPr>
          <w:rtl w:val="0"/>
        </w:rPr>
        <w:br w:type="textWrapping"/>
      </w:r>
      <w:r w:rsidDel="00000000" w:rsidR="00000000" w:rsidRPr="00000000">
        <w:rPr>
          <w:i w:val="1"/>
          <w:iCs w:val="1"/>
          <w:rtl w:val="0"/>
        </w:rPr>
        <w:t xml:space="preserve">Step into this 55-minute transformative session where seven expert ophthalmologists guide you through real-world strategies to build, scale, and safeguard your private practice. </w:t>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"Beyond the Microscope: Mastering the Business of Private Practice" by Chief Instructor Dr. Krishna Poojita Vunnava.</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Branding: Personal Vs Organization; the dilemma</w:t>
      </w:r>
    </w:p>
    <w:p w:rsidR="00000000" w:rsidDel="00000000" w:rsidP="00000000" w:rsidRDefault="00000000" w:rsidRPr="00000000" w14:paraId="00000006">
      <w:pPr>
        <w:rPr/>
      </w:pPr>
      <w:r w:rsidDel="00000000" w:rsidR="00000000" w:rsidRPr="00000000">
        <w:rPr>
          <w:b w:val="1"/>
          <w:bCs w:val="1"/>
          <w:rtl w:val="0"/>
        </w:rPr>
        <w:t xml:space="preserve">Dr. Abdul Rasheed (7 mins)</w:t>
      </w:r>
      <w:r w:rsidDel="00000000" w:rsidR="00000000" w:rsidRPr="00000000">
        <w:rPr>
          <w:rtl w:val="0"/>
        </w:rPr>
        <w:br w:type="textWrapping"/>
      </w:r>
    </w:p>
    <w:p w:rsidR="00000000" w:rsidDel="00000000" w:rsidP="00000000" w:rsidRDefault="00000000" w:rsidRPr="00000000" w14:paraId="00000007">
      <w:pPr>
        <w:rPr/>
      </w:pPr>
      <w:r w:rsidDel="00000000" w:rsidR="00000000" w:rsidRPr="00000000">
        <w:rPr>
          <w:rtl w:val="0"/>
        </w:rPr>
        <w:t xml:space="preserve">Imagine launching your ophthalmology practice only to see patients bypass you for a competitor whose name sparks instant trust. This is where branding begins—not as a vague buzzword, but as the deliberate fusion of your personal expertise and your clinic's identity. Organizational branding builds lasting pillars like logos, service guarantees, and a cohesive clinic narrative tailored for eye care. Yet mismatches lurk—picture a stellar retina specialist whose generic clinic ads dilute their solo fame, eroding loyalty. Through vivid examples of branding pitfalls in high-stakes ophthalmology, Dr. Rasheed delivers a decision framework: lean personal for nimble solo setups to amplify referrals, or pivot to organizational strength for multi-doctor expansion.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Covered &amp; Connected: The Role of Empanelment in Practice Growth</w:t>
      </w:r>
    </w:p>
    <w:p w:rsidR="00000000" w:rsidDel="00000000" w:rsidP="00000000" w:rsidRDefault="00000000" w:rsidRPr="00000000" w14:paraId="0000000A">
      <w:pPr>
        <w:rPr/>
      </w:pPr>
      <w:r w:rsidDel="00000000" w:rsidR="00000000" w:rsidRPr="00000000">
        <w:rPr>
          <w:b w:val="1"/>
          <w:bCs w:val="1"/>
          <w:rtl w:val="0"/>
        </w:rPr>
        <w:t xml:space="preserve">Dr. Samina F Zamindar (7 mins)</w:t>
      </w:r>
      <w:r w:rsidDel="00000000" w:rsidR="00000000" w:rsidRPr="00000000">
        <w:rPr>
          <w:rtl w:val="0"/>
        </w:rPr>
        <w:br w:type="textWrapping"/>
        <w:t xml:space="preserve">Picture your waiting room half-empty while rivals thrive on steady insurer referrals—a gap bridged by smart empanelment. Dr. Samina F Zamindar illuminates the decision criteria: weigh revenue boosts from high-volume procedures like routine eye exams against reimbursement delays, prioritizing panels that align with ophthalmology's procedural mix. Operational guidelines follow seamlessly, transforming empanelled chaos into smooth billing for surgical management without derailing your surgical schedule. Best practices emerge as a roadmap—from swift application processes and negotiation tactics to audit-proof documentation that sustains cash flow. </w:t>
      </w:r>
    </w:p>
    <w:p w:rsidR="00000000" w:rsidDel="00000000" w:rsidP="00000000" w:rsidRDefault="00000000" w:rsidRPr="00000000" w14:paraId="0000000B">
      <w:pPr>
        <w:rPr/>
      </w:pPr>
      <w:r w:rsidDel="00000000" w:rsidR="00000000" w:rsidRPr="00000000">
        <w:rPr>
          <w:b w:val="1"/>
          <w:bCs w:val="1"/>
          <w:rtl w:val="0"/>
        </w:rPr>
        <w:t xml:space="preserve">Decoding the Balance Sheet</w:t>
      </w:r>
      <w:r w:rsidDel="00000000" w:rsidR="00000000" w:rsidRPr="00000000">
        <w:rPr>
          <w:rtl w:val="0"/>
        </w:rPr>
      </w:r>
    </w:p>
    <w:p w:rsidR="00000000" w:rsidDel="00000000" w:rsidP="00000000" w:rsidRDefault="00000000" w:rsidRPr="00000000" w14:paraId="0000000C">
      <w:pPr>
        <w:rPr/>
      </w:pPr>
      <w:r w:rsidDel="00000000" w:rsidR="00000000" w:rsidRPr="00000000">
        <w:rPr>
          <w:b w:val="1"/>
          <w:bCs w:val="1"/>
          <w:rtl w:val="0"/>
        </w:rPr>
        <w:t xml:space="preserve">Dr. Sumeet Lahane (7 mins)</w:t>
      </w:r>
      <w:r w:rsidDel="00000000" w:rsidR="00000000" w:rsidRPr="00000000">
        <w:rPr>
          <w:rtl w:val="0"/>
        </w:rPr>
        <w:br w:type="textWrapping"/>
        <w:t xml:space="preserve">Dive into the numbers that secretly steer your practice's fate, where confusion over finances can blind even the sharpest ophthalmologist. Dr. Sumeet Lahane starts with MIS reports as your early-warning dashboard, tracking pre-P&amp;L metrics like procedure volumes and consumable costs before profits vanish. P&amp;L statements come alive, revealing leaks in staffing or supplies that devour margins on phacoemulsification runs. Crucially, distinguish P&amp;L from cash flow—vital for timing that next OCT scanner without liquidity crunches. Balance sheet analysis demystifies assets like diagnostic tools against loan liabilities, empowering clear-eyed expansions.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Importance of Digital Landscape In Private Practice: Learning the fine print</w:t>
      </w:r>
    </w:p>
    <w:p w:rsidR="00000000" w:rsidDel="00000000" w:rsidP="00000000" w:rsidRDefault="00000000" w:rsidRPr="00000000" w14:paraId="0000000F">
      <w:pPr>
        <w:rPr/>
      </w:pPr>
      <w:r w:rsidDel="00000000" w:rsidR="00000000" w:rsidRPr="00000000">
        <w:rPr>
          <w:b w:val="1"/>
          <w:bCs w:val="1"/>
          <w:rtl w:val="0"/>
        </w:rPr>
        <w:t xml:space="preserve">Dr. Krishna Poojita Vunnava (7 mins)</w:t>
      </w:r>
      <w:r w:rsidDel="00000000" w:rsidR="00000000" w:rsidRPr="00000000">
        <w:rPr>
          <w:rtl w:val="0"/>
        </w:rPr>
        <w:br w:type="textWrapping"/>
        <w:t xml:space="preserve">In today's eye care world, patients Google "best ophthalmologist near me" before dialing—yet many practices remain digital ghosts. Dr. Krishna Poojita Vunnava asserts the necessity of presence, mapping essential components from websites to social platforms that funnel inquiries straight to your door. Social media strategies differentiate: Facebook builds community awareness for general check-ups, YouTube showcases procedure demos like LASIK walkthroughs, and Instagram captivates with before-after visual transformations. Claim Google My Business to dominate local rankings, then amplify with website backlinks and citations from eye health directories. Key metrics tie it together—track digital leads versus walk-ins to measure ROI.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Is Specialty Care Breaking Out of the Institute Walls?</w:t>
      </w:r>
    </w:p>
    <w:p w:rsidR="00000000" w:rsidDel="00000000" w:rsidP="00000000" w:rsidRDefault="00000000" w:rsidRPr="00000000" w14:paraId="00000012">
      <w:pPr>
        <w:rPr/>
      </w:pPr>
      <w:r w:rsidDel="00000000" w:rsidR="00000000" w:rsidRPr="00000000">
        <w:rPr>
          <w:b w:val="1"/>
          <w:bCs w:val="1"/>
          <w:rtl w:val="0"/>
        </w:rPr>
        <w:t xml:space="preserve">Dr. Charuta Puranik (7 mins)</w:t>
      </w:r>
      <w:r w:rsidDel="00000000" w:rsidR="00000000" w:rsidRPr="00000000">
        <w:rPr>
          <w:rtl w:val="0"/>
        </w:rPr>
        <w:br w:type="textWrapping"/>
        <w:t xml:space="preserve">Breaking free from institutional confines marks the bold leap for specialty ophthalmologists, and Dr. Charuta Puranik charts the path. Building outside walls means crafting independent practices—from solo cornea clinics to collaborative groups—Referral networks become your lifeline, cultivated through peer partnerships that route complex cases your way. Drawing from real-world transitions, this segment reveals how to scale without sacrificing clinical passion,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Operational excellence : As an instrument to scale your practice</w:t>
      </w:r>
    </w:p>
    <w:p w:rsidR="00000000" w:rsidDel="00000000" w:rsidP="00000000" w:rsidRDefault="00000000" w:rsidRPr="00000000" w14:paraId="00000015">
      <w:pPr>
        <w:rPr/>
      </w:pPr>
      <w:r w:rsidDel="00000000" w:rsidR="00000000" w:rsidRPr="00000000">
        <w:rPr>
          <w:b w:val="1"/>
          <w:bCs w:val="1"/>
          <w:rtl w:val="0"/>
        </w:rPr>
        <w:t xml:space="preserve">Dr. Kamal Bandhu Kapur (8 mins)</w:t>
      </w:r>
      <w:r w:rsidDel="00000000" w:rsidR="00000000" w:rsidRPr="00000000">
        <w:rPr>
          <w:rtl w:val="0"/>
        </w:rPr>
        <w:br w:type="textWrapping"/>
        <w:t xml:space="preserve">Operations whisper the secrets of empires, turning daily grind into growth engines for busy eye clinics. Dr. Kamal Bandhu Kapur reveals how systems reshape practice life: automate scheduling to conquer OPD peaks and streamline inventory for endless eye drops. Priorities sharpen during scaling—focus on staff training and workflow tweaks drawn from the Sharp Sight case study, where multi-location ophthalmology boomed through disciplined processes. Monitor via KPIs like patient throughput and no-show rates, dodging burnout by delegating ops to reclaim your OR throne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Safeguard with Signatures: Paperwork Demystified</w:t>
      </w:r>
    </w:p>
    <w:p w:rsidR="00000000" w:rsidDel="00000000" w:rsidP="00000000" w:rsidRDefault="00000000" w:rsidRPr="00000000" w14:paraId="00000018">
      <w:pPr>
        <w:rPr/>
      </w:pPr>
      <w:r w:rsidDel="00000000" w:rsidR="00000000" w:rsidRPr="00000000">
        <w:rPr>
          <w:b w:val="1"/>
          <w:bCs w:val="1"/>
          <w:rtl w:val="0"/>
        </w:rPr>
        <w:t xml:space="preserve">Dr. Mathew Kurian (7 mins)</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In the high-stakes arena of ophthalmology, paperwork isn't drudgery—it's armor. Dr. Mathew Kurian demystifies medicolegal requirements, from ironclad consents for LASIK flaps to intravitreal injection protocols. NABH accreditation documentation gets practical, outlining standards that elevate eye clinics to elite status. The power of paper trails shines: every interaction for irrefutable proof in disputes and to identify problems. Proper signatures forge legal protection, while routine audits keep you lawsuit-proof.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Panel Discussion (5 mins)</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I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